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46" w:rsidRPr="008A6546" w:rsidRDefault="008A6546" w:rsidP="008A6546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A6546">
        <w:rPr>
          <w:b/>
          <w:bCs/>
          <w:color w:val="222222"/>
          <w:sz w:val="28"/>
          <w:szCs w:val="28"/>
        </w:rPr>
        <w:t>ПРАВИТЕЛЬСТВО РОССИЙСКОЙ ФЕДЕРАЦИИ</w:t>
      </w:r>
    </w:p>
    <w:p w:rsidR="008A6546" w:rsidRPr="008A6546" w:rsidRDefault="008A6546" w:rsidP="008A6546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A6546">
        <w:rPr>
          <w:b/>
          <w:bCs/>
          <w:color w:val="222222"/>
          <w:sz w:val="28"/>
          <w:szCs w:val="28"/>
        </w:rPr>
        <w:t>ПОСТАНОВЛЕНИЕ</w:t>
      </w:r>
      <w:r w:rsidRPr="008A6546">
        <w:rPr>
          <w:b/>
          <w:bCs/>
          <w:color w:val="222222"/>
          <w:sz w:val="28"/>
          <w:szCs w:val="28"/>
        </w:rPr>
        <w:br/>
        <w:t>от 4 апреля 2020 г. N 448</w:t>
      </w:r>
    </w:p>
    <w:p w:rsidR="008A6546" w:rsidRPr="008A6546" w:rsidRDefault="008A6546" w:rsidP="008A6546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A6546">
        <w:rPr>
          <w:b/>
          <w:bCs/>
          <w:color w:val="222222"/>
          <w:sz w:val="28"/>
          <w:szCs w:val="28"/>
        </w:rPr>
        <w:t>О ВНЕСЕНИИ ИЗМЕНЕНИЙ</w:t>
      </w:r>
      <w:bookmarkStart w:id="0" w:name="_GoBack"/>
      <w:bookmarkEnd w:id="0"/>
      <w:r w:rsidRPr="008A6546">
        <w:rPr>
          <w:b/>
          <w:bCs/>
          <w:color w:val="222222"/>
          <w:sz w:val="28"/>
          <w:szCs w:val="28"/>
        </w:rPr>
        <w:br/>
        <w:t>В ГОСУДАРСТВЕННУЮ ПРОГРАММУ РОССИЙСКОЙ ФЕДЕРАЦИИ</w:t>
      </w:r>
      <w:r w:rsidRPr="008A6546">
        <w:rPr>
          <w:b/>
          <w:bCs/>
          <w:color w:val="222222"/>
          <w:sz w:val="28"/>
          <w:szCs w:val="28"/>
        </w:rPr>
        <w:br/>
        <w:t>"РАЗВИТИЕ ОБРАЗОВАНИЯ"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Правительство Российской Федерации постановляет: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1. Утвердить прилагаемые изменения, которые вносятся в государственную программу Российской Федерации "Развитие образования", утвержденную </w:t>
      </w:r>
      <w:hyperlink r:id="rId4" w:history="1">
        <w:r w:rsidRPr="008A6546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постановлением Правительства Российской Федерации от 26 декабря 2017 г. N 1642</w:t>
        </w:r>
      </w:hyperlink>
      <w:r w:rsidRPr="008A6546">
        <w:rPr>
          <w:color w:val="222222"/>
          <w:sz w:val="28"/>
          <w:szCs w:val="28"/>
        </w:rPr>
        <w:t> "Об утверждении государственной программы Российской Федерации "Развитие образования" (Собрание законодательства Российской Федерации, 2018, N 1, ст. 375; N 10, ст. 1500; N 42, ст. 6462; 2019, N 5, ст. 372; N 15, ст. 1747; N 34, ст. 4880; N 46, ст. 6496; N 49, ст. 7142; N 50, ст. 7402; N 52, ст. 7960; 2020, N 1, ст. 70; N 9, ст. 1204; N 12, ст. 1763; Официальный интернет-портал правовой информации (www.pravo.gov.ru), 2020, 1 апреля, N 0001202004010021).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2. Установить, что расчет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рамках государственной программы Российской Федерации "Развитие образования" в 2020 году осуществляется с 1 сентября по 31 декабря 2020 г.</w:t>
      </w:r>
    </w:p>
    <w:p w:rsidR="008A6546" w:rsidRPr="008A6546" w:rsidRDefault="008A6546" w:rsidP="008A6546">
      <w:pPr>
        <w:pStyle w:val="pr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Председатель Правительства</w:t>
      </w:r>
      <w:r w:rsidRPr="008A6546">
        <w:rPr>
          <w:color w:val="222222"/>
          <w:sz w:val="28"/>
          <w:szCs w:val="28"/>
        </w:rPr>
        <w:br/>
        <w:t>Российской Федерации</w:t>
      </w:r>
      <w:r w:rsidRPr="008A6546">
        <w:rPr>
          <w:color w:val="222222"/>
          <w:sz w:val="28"/>
          <w:szCs w:val="28"/>
        </w:rPr>
        <w:br/>
        <w:t>М.МИШУСТИН</w:t>
      </w:r>
    </w:p>
    <w:p w:rsidR="008A6546" w:rsidRPr="008A6546" w:rsidRDefault="008A6546" w:rsidP="008A6546">
      <w:pPr>
        <w:pStyle w:val="pr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Утверждены</w:t>
      </w:r>
      <w:r w:rsidRPr="008A6546">
        <w:rPr>
          <w:color w:val="222222"/>
          <w:sz w:val="28"/>
          <w:szCs w:val="28"/>
        </w:rPr>
        <w:br/>
        <w:t>постановлением Правительства</w:t>
      </w:r>
      <w:r w:rsidRPr="008A6546">
        <w:rPr>
          <w:color w:val="222222"/>
          <w:sz w:val="28"/>
          <w:szCs w:val="28"/>
        </w:rPr>
        <w:br/>
        <w:t>Российской Федерации</w:t>
      </w:r>
      <w:r w:rsidRPr="008A6546">
        <w:rPr>
          <w:color w:val="222222"/>
          <w:sz w:val="28"/>
          <w:szCs w:val="28"/>
        </w:rPr>
        <w:br/>
        <w:t>от 4 апреля 2020 г. N 448</w:t>
      </w:r>
    </w:p>
    <w:p w:rsidR="008A6546" w:rsidRPr="008A6546" w:rsidRDefault="008A6546" w:rsidP="008A6546">
      <w:pPr>
        <w:pStyle w:val="pc"/>
        <w:shd w:val="clear" w:color="auto" w:fill="FFFFFF"/>
        <w:spacing w:before="0" w:beforeAutospacing="0" w:after="199" w:afterAutospacing="0" w:line="540" w:lineRule="atLeast"/>
        <w:jc w:val="both"/>
        <w:textAlignment w:val="baseline"/>
        <w:rPr>
          <w:b/>
          <w:bCs/>
          <w:color w:val="222222"/>
          <w:sz w:val="28"/>
          <w:szCs w:val="28"/>
        </w:rPr>
      </w:pPr>
      <w:proofErr w:type="gramStart"/>
      <w:r w:rsidRPr="008A6546">
        <w:rPr>
          <w:b/>
          <w:bCs/>
          <w:color w:val="222222"/>
          <w:sz w:val="28"/>
          <w:szCs w:val="28"/>
        </w:rPr>
        <w:lastRenderedPageBreak/>
        <w:t>ИЗМЕНЕНИЯ,</w:t>
      </w:r>
      <w:r w:rsidRPr="008A6546">
        <w:rPr>
          <w:b/>
          <w:bCs/>
          <w:color w:val="222222"/>
          <w:sz w:val="28"/>
          <w:szCs w:val="28"/>
        </w:rPr>
        <w:br/>
        <w:t>КОТОРЫЕ</w:t>
      </w:r>
      <w:proofErr w:type="gramEnd"/>
      <w:r w:rsidRPr="008A6546">
        <w:rPr>
          <w:b/>
          <w:bCs/>
          <w:color w:val="222222"/>
          <w:sz w:val="28"/>
          <w:szCs w:val="28"/>
        </w:rPr>
        <w:t xml:space="preserve"> ВНОСЯТСЯ В ГОСУДАРСТВЕННУЮ ПРОГРАММУ РОССИЙСКОЙ</w:t>
      </w:r>
      <w:r w:rsidRPr="008A6546">
        <w:rPr>
          <w:b/>
          <w:bCs/>
          <w:color w:val="222222"/>
          <w:sz w:val="28"/>
          <w:szCs w:val="28"/>
        </w:rPr>
        <w:br/>
        <w:t>ФЕДЕРАЦИИ "РАЗВИТИЕ ОБРАЗОВАНИЯ"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1. Позицию паспорта Программы, касающуюся приложений к Программе, дополнить абзацем следующего содержания: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"приложение N 28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2. Дополнить приложением N 28 следующего содержания:</w:t>
      </w:r>
    </w:p>
    <w:p w:rsidR="008A6546" w:rsidRPr="008A6546" w:rsidRDefault="008A6546" w:rsidP="008A6546">
      <w:pPr>
        <w:pStyle w:val="pr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"Приложение N 28</w:t>
      </w:r>
      <w:r w:rsidRPr="008A6546">
        <w:rPr>
          <w:color w:val="222222"/>
          <w:sz w:val="28"/>
          <w:szCs w:val="28"/>
        </w:rPr>
        <w:br/>
        <w:t>к государственной программе</w:t>
      </w:r>
      <w:r w:rsidRPr="008A6546">
        <w:rPr>
          <w:color w:val="222222"/>
          <w:sz w:val="28"/>
          <w:szCs w:val="28"/>
        </w:rPr>
        <w:br/>
        <w:t>Российской Федерации</w:t>
      </w:r>
      <w:r w:rsidRPr="008A6546">
        <w:rPr>
          <w:color w:val="222222"/>
          <w:sz w:val="28"/>
          <w:szCs w:val="28"/>
        </w:rPr>
        <w:br/>
        <w:t>"Развитие образования"</w:t>
      </w:r>
    </w:p>
    <w:p w:rsidR="008A6546" w:rsidRPr="008A6546" w:rsidRDefault="008A6546" w:rsidP="008A6546">
      <w:pPr>
        <w:pStyle w:val="pc"/>
        <w:shd w:val="clear" w:color="auto" w:fill="FFFFFF"/>
        <w:spacing w:before="0" w:beforeAutospacing="0" w:after="199" w:afterAutospacing="0" w:line="540" w:lineRule="atLeast"/>
        <w:jc w:val="both"/>
        <w:textAlignment w:val="baseline"/>
        <w:rPr>
          <w:b/>
          <w:bCs/>
          <w:color w:val="222222"/>
          <w:sz w:val="28"/>
          <w:szCs w:val="28"/>
        </w:rPr>
      </w:pPr>
      <w:r w:rsidRPr="008A6546">
        <w:rPr>
          <w:b/>
          <w:bCs/>
          <w:color w:val="222222"/>
          <w:sz w:val="28"/>
          <w:szCs w:val="28"/>
        </w:rPr>
        <w:t>ПРАВИЛА</w:t>
      </w:r>
      <w:r w:rsidRPr="008A6546">
        <w:rPr>
          <w:b/>
          <w:bCs/>
          <w:color w:val="222222"/>
          <w:sz w:val="28"/>
          <w:szCs w:val="28"/>
        </w:rPr>
        <w:br/>
        <w:t>ПРЕДОСТАВЛЕНИЯ И РАСПРЕДЕЛЕНИЯ ИНЫХ МЕЖБЮДЖЕТНЫХ</w:t>
      </w:r>
      <w:r w:rsidRPr="008A6546">
        <w:rPr>
          <w:b/>
          <w:bCs/>
          <w:color w:val="222222"/>
          <w:sz w:val="28"/>
          <w:szCs w:val="28"/>
        </w:rPr>
        <w:br/>
        <w:t>ТРАНСФЕРТОВ ИЗ ФЕДЕРАЛЬНОГО БЮДЖЕТА БЮДЖЕТАМ СУБЪЕКТОВ</w:t>
      </w:r>
      <w:r w:rsidRPr="008A6546">
        <w:rPr>
          <w:b/>
          <w:bCs/>
          <w:color w:val="222222"/>
          <w:sz w:val="28"/>
          <w:szCs w:val="28"/>
        </w:rPr>
        <w:br/>
        <w:t>РОССИЙСКОЙ ФЕДЕРАЦИИ НА ОБЕСПЕЧЕНИЕ ВЫПЛАТ ЕЖЕМЕСЯЧНОГО</w:t>
      </w:r>
      <w:r w:rsidRPr="008A6546">
        <w:rPr>
          <w:b/>
          <w:bCs/>
          <w:color w:val="222222"/>
          <w:sz w:val="28"/>
          <w:szCs w:val="28"/>
        </w:rPr>
        <w:br/>
        <w:t>ДЕНЕЖНОГО ВОЗНАГРАЖДЕНИЯ ЗА КЛАССНОЕ РУКОВОДСТВО</w:t>
      </w:r>
      <w:r w:rsidRPr="008A6546">
        <w:rPr>
          <w:b/>
          <w:bCs/>
          <w:color w:val="222222"/>
          <w:sz w:val="28"/>
          <w:szCs w:val="28"/>
        </w:rPr>
        <w:br/>
        <w:t>ПЕДАГОГИЧЕСКИМ РАБОТНИКАМ ГОСУДАРСТВЕННЫХ ОБРАЗОВАТЕЛЬНЫХ</w:t>
      </w:r>
      <w:r w:rsidRPr="008A6546">
        <w:rPr>
          <w:b/>
          <w:bCs/>
          <w:color w:val="222222"/>
          <w:sz w:val="28"/>
          <w:szCs w:val="28"/>
        </w:rPr>
        <w:br/>
        <w:t xml:space="preserve">ОРГАНИЗАЦИЙ СУБЪЕКТОВ РОССИЙСКОЙ ФЕДЕРАЦИИ И </w:t>
      </w:r>
      <w:r w:rsidRPr="008A6546">
        <w:rPr>
          <w:b/>
          <w:bCs/>
          <w:color w:val="222222"/>
          <w:sz w:val="28"/>
          <w:szCs w:val="28"/>
        </w:rPr>
        <w:lastRenderedPageBreak/>
        <w:t>МУНИЦИПАЛЬНЫХ</w:t>
      </w:r>
      <w:r w:rsidRPr="008A6546">
        <w:rPr>
          <w:b/>
          <w:bCs/>
          <w:color w:val="222222"/>
          <w:sz w:val="28"/>
          <w:szCs w:val="28"/>
        </w:rPr>
        <w:br/>
        <w:t>ОБРАЗОВАТЕЛЬНЫХ ОРГАНИЗАЦИЙ, РЕАЛИЗУЮЩИХ ОБРАЗОВАТЕЛЬНЫЕ</w:t>
      </w:r>
      <w:r w:rsidRPr="008A6546">
        <w:rPr>
          <w:b/>
          <w:bCs/>
          <w:color w:val="222222"/>
          <w:sz w:val="28"/>
          <w:szCs w:val="28"/>
        </w:rPr>
        <w:br/>
        <w:t>ПРОГРАММЫ НАЧАЛЬНОГО ОБЩЕГО, ОСНОВНОГО ОБЩЕГО И СРЕДНЕГО</w:t>
      </w:r>
      <w:r w:rsidRPr="008A6546">
        <w:rPr>
          <w:b/>
          <w:bCs/>
          <w:color w:val="222222"/>
          <w:sz w:val="28"/>
          <w:szCs w:val="28"/>
        </w:rPr>
        <w:br/>
        <w:t>ОБЩЕГО ОБРАЗОВАНИЯ, В ТОМ ЧИСЛЕ АДАПТИРОВАННЫЕ ОСНОВНЫЕ</w:t>
      </w:r>
      <w:r w:rsidRPr="008A6546">
        <w:rPr>
          <w:b/>
          <w:bCs/>
          <w:color w:val="222222"/>
          <w:sz w:val="28"/>
          <w:szCs w:val="28"/>
        </w:rPr>
        <w:br/>
        <w:t>ОБЩЕОБРАЗОВАТЕЛЬНЫЕ ПРОГРАММЫ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1. Настоящие Правила устанавливают цели, условия и порядок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- общеобразовательные организации), в рамках реализации государственной программы Российской Федерации "Развитие образования" (далее - иные межбюджетные трансферты).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 xml:space="preserve">2. Иные межбюджетные трансферты предоставляются в целях </w:t>
      </w:r>
      <w:proofErr w:type="spellStart"/>
      <w:r w:rsidRPr="008A6546">
        <w:rPr>
          <w:color w:val="222222"/>
          <w:sz w:val="28"/>
          <w:szCs w:val="28"/>
        </w:rPr>
        <w:t>софинансирования</w:t>
      </w:r>
      <w:proofErr w:type="spellEnd"/>
      <w:r w:rsidRPr="008A6546">
        <w:rPr>
          <w:color w:val="222222"/>
          <w:sz w:val="28"/>
          <w:szCs w:val="28"/>
        </w:rPr>
        <w:t xml:space="preserve"> в полном объеме расходных обязательств субъектов Российской Федерации, возникающих при осуществлении выплат ежемесячного денежного вознаграждения за классное руководство педагогическим работникам общеобразовательных организаций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 (далее - страховые взносы в государственные внебюджетные фонды) и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власти, за работу в районах </w:t>
      </w:r>
      <w:r w:rsidRPr="008A6546">
        <w:rPr>
          <w:color w:val="222222"/>
          <w:sz w:val="28"/>
          <w:szCs w:val="28"/>
        </w:rPr>
        <w:lastRenderedPageBreak/>
        <w:t>Крайнего Севера и приравненных к ним местностях, высокогорных, пустынных, безводных и других районах (местностях) с особыми климатическими условиями (далее - районные коэффициенты) и процентной надбавки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условиями (далее - процентные надбавки).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3. Иные межбюджетные трансферты предоставляются в пределах лимитов бюджетных обязательств, доведенных в установленном порядке до Министерства просвещения Российской Федерации как получателя средств федерального бюджета на цели, указанные в пункте 2 настоящих Правил.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4. Распределение иных межбюджетных трансфертов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5. Критерием отбора субъекта Российской Федерации для предоставления иного межбюджетного трансферта является наличие потребности субъекта Российской Федерации в обеспечении выплат ежемесячного денежного вознаграждения за классное руководство исходя из прогнозируемой численности педагогических работников общеобразовательных организаций на начало учебного года.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 xml:space="preserve">6. Условием предоставления иных межбюджетных трансфертов является наличие у субъекта Российской Федерации принятого в установленном порядке нормативного правового акта, устанавливающего расходное обязательство субъекта Российской Федерации, в целях </w:t>
      </w:r>
      <w:proofErr w:type="spellStart"/>
      <w:r w:rsidRPr="008A6546">
        <w:rPr>
          <w:color w:val="222222"/>
          <w:sz w:val="28"/>
          <w:szCs w:val="28"/>
        </w:rPr>
        <w:t>софинансирования</w:t>
      </w:r>
      <w:proofErr w:type="spellEnd"/>
      <w:r w:rsidRPr="008A6546">
        <w:rPr>
          <w:color w:val="222222"/>
          <w:sz w:val="28"/>
          <w:szCs w:val="28"/>
        </w:rPr>
        <w:t xml:space="preserve"> которого предоставляются иные межбюджетные трансферты.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7. Предоставление иных межбюджетных трансфертов осуществляется на основании соглашения о предоставлении иного межбюджетного трансферта, заключаемого Министерством просвещения Российской Федерации и высшим исполнительным органом государственной власти субъекта Российской Федерации (далее - соглашение)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Федерации, утвержденной Министерством финансов Российской Федерации.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 xml:space="preserve">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условия </w:t>
      </w:r>
      <w:r w:rsidRPr="008A6546">
        <w:rPr>
          <w:color w:val="222222"/>
          <w:sz w:val="28"/>
          <w:szCs w:val="28"/>
        </w:rPr>
        <w:lastRenderedPageBreak/>
        <w:t>предоставления иного межбюджетного трансферта, предусмотренного пунктом 6 настоящих Правил.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 xml:space="preserve">8. В целях реализации принятого субъектом Российской Федерации в установленном порядке нормативного правового акта, устанавливающего расходное обязательство субъекта Российской Федерации, в целях </w:t>
      </w:r>
      <w:proofErr w:type="spellStart"/>
      <w:r w:rsidRPr="008A6546">
        <w:rPr>
          <w:color w:val="222222"/>
          <w:sz w:val="28"/>
          <w:szCs w:val="28"/>
        </w:rPr>
        <w:t>софинансирования</w:t>
      </w:r>
      <w:proofErr w:type="spellEnd"/>
      <w:r w:rsidRPr="008A6546">
        <w:rPr>
          <w:color w:val="222222"/>
          <w:sz w:val="28"/>
          <w:szCs w:val="28"/>
        </w:rPr>
        <w:t xml:space="preserve"> которого предоставляются межбюджетные трансферты,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9.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установленный срок в соответствии с соглашением в государственной интегрированной информационной системе управления общественными финансами "Электронный бюджет":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 xml:space="preserve">отчет о расходах бюджета субъекта Российской Федерации, в целях </w:t>
      </w:r>
      <w:proofErr w:type="spellStart"/>
      <w:r w:rsidRPr="008A6546">
        <w:rPr>
          <w:color w:val="222222"/>
          <w:sz w:val="28"/>
          <w:szCs w:val="28"/>
        </w:rPr>
        <w:t>софинансирования</w:t>
      </w:r>
      <w:proofErr w:type="spellEnd"/>
      <w:r w:rsidRPr="008A6546">
        <w:rPr>
          <w:color w:val="222222"/>
          <w:sz w:val="28"/>
          <w:szCs w:val="28"/>
        </w:rPr>
        <w:t xml:space="preserve"> которых предоставляются иные межбюджетные трансферты, - ежемесячно, не позднее 10-го числа месяца, следующего за отчетным месяцем;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отчет о достижении значения результата предоставления иных межбюджетных трансфертов, которое устанавливается в соглашении, - ежемесячно, не позднее 10-го числа месяца, следующего за отчетным месяцем.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10. Результатом предоставления иных межбюджетных трансфертов является доля педагогических работников общеобразовательных организаций,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11. Размер предоставляемого бюджету субъекта Российской Федерации иного межбюджетного трансферта (T1i) определяется по формуле:</w:t>
      </w:r>
    </w:p>
    <w:p w:rsidR="008A6546" w:rsidRPr="008A6546" w:rsidRDefault="008A6546" w:rsidP="008A6546">
      <w:pPr>
        <w:pStyle w:val="pc"/>
        <w:shd w:val="clear" w:color="auto" w:fill="FFFFFF"/>
        <w:spacing w:before="0" w:beforeAutospacing="0" w:after="199" w:afterAutospacing="0" w:line="540" w:lineRule="atLeast"/>
        <w:jc w:val="both"/>
        <w:textAlignment w:val="baseline"/>
        <w:rPr>
          <w:b/>
          <w:bCs/>
          <w:color w:val="222222"/>
          <w:sz w:val="28"/>
          <w:szCs w:val="28"/>
        </w:rPr>
      </w:pPr>
      <w:r w:rsidRPr="008A6546">
        <w:rPr>
          <w:b/>
          <w:bCs/>
          <w:color w:val="222222"/>
          <w:sz w:val="28"/>
          <w:szCs w:val="28"/>
        </w:rPr>
        <w:t>T1i = (</w:t>
      </w:r>
      <w:proofErr w:type="spellStart"/>
      <w:r w:rsidRPr="008A6546">
        <w:rPr>
          <w:b/>
          <w:bCs/>
          <w:color w:val="222222"/>
          <w:sz w:val="28"/>
          <w:szCs w:val="28"/>
        </w:rPr>
        <w:t>Tкр</w:t>
      </w:r>
      <w:proofErr w:type="spellEnd"/>
      <w:r w:rsidRPr="008A6546">
        <w:rPr>
          <w:b/>
          <w:bCs/>
          <w:color w:val="222222"/>
          <w:sz w:val="28"/>
          <w:szCs w:val="28"/>
        </w:rPr>
        <w:t xml:space="preserve"> x (</w:t>
      </w:r>
      <w:proofErr w:type="spellStart"/>
      <w:r w:rsidRPr="008A6546">
        <w:rPr>
          <w:b/>
          <w:bCs/>
          <w:color w:val="222222"/>
          <w:sz w:val="28"/>
          <w:szCs w:val="28"/>
        </w:rPr>
        <w:t>Рк</w:t>
      </w:r>
      <w:proofErr w:type="spellEnd"/>
      <w:r w:rsidRPr="008A6546">
        <w:rPr>
          <w:b/>
          <w:bCs/>
          <w:color w:val="222222"/>
          <w:sz w:val="28"/>
          <w:szCs w:val="28"/>
        </w:rPr>
        <w:t xml:space="preserve"> + </w:t>
      </w:r>
      <w:proofErr w:type="spellStart"/>
      <w:r w:rsidRPr="008A6546">
        <w:rPr>
          <w:b/>
          <w:bCs/>
          <w:color w:val="222222"/>
          <w:sz w:val="28"/>
          <w:szCs w:val="28"/>
        </w:rPr>
        <w:t>Пн</w:t>
      </w:r>
      <w:proofErr w:type="spellEnd"/>
      <w:r w:rsidRPr="008A6546">
        <w:rPr>
          <w:b/>
          <w:bCs/>
          <w:color w:val="222222"/>
          <w:sz w:val="28"/>
          <w:szCs w:val="28"/>
        </w:rPr>
        <w:t xml:space="preserve">)) x H1 x </w:t>
      </w:r>
      <w:proofErr w:type="spellStart"/>
      <w:r w:rsidRPr="008A6546">
        <w:rPr>
          <w:b/>
          <w:bCs/>
          <w:color w:val="222222"/>
          <w:sz w:val="28"/>
          <w:szCs w:val="28"/>
        </w:rPr>
        <w:t>Nм</w:t>
      </w:r>
      <w:proofErr w:type="spellEnd"/>
      <w:r w:rsidRPr="008A6546">
        <w:rPr>
          <w:b/>
          <w:bCs/>
          <w:color w:val="222222"/>
          <w:sz w:val="28"/>
          <w:szCs w:val="28"/>
        </w:rPr>
        <w:t xml:space="preserve"> x </w:t>
      </w:r>
      <w:proofErr w:type="spellStart"/>
      <w:r w:rsidRPr="008A6546">
        <w:rPr>
          <w:b/>
          <w:bCs/>
          <w:color w:val="222222"/>
          <w:sz w:val="28"/>
          <w:szCs w:val="28"/>
        </w:rPr>
        <w:t>Sвзн</w:t>
      </w:r>
      <w:proofErr w:type="spellEnd"/>
      <w:r w:rsidRPr="008A6546">
        <w:rPr>
          <w:b/>
          <w:bCs/>
          <w:color w:val="222222"/>
          <w:sz w:val="28"/>
          <w:szCs w:val="28"/>
        </w:rPr>
        <w:t>,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где: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A6546">
        <w:rPr>
          <w:color w:val="222222"/>
          <w:sz w:val="28"/>
          <w:szCs w:val="28"/>
        </w:rPr>
        <w:t>Tкр</w:t>
      </w:r>
      <w:proofErr w:type="spellEnd"/>
      <w:r w:rsidRPr="008A6546">
        <w:rPr>
          <w:color w:val="222222"/>
          <w:sz w:val="28"/>
          <w:szCs w:val="28"/>
        </w:rPr>
        <w:t xml:space="preserve"> - 5000 рублей - размер выплаты ежемесячного денежного вознаграждения за классное руководство педагогическим работникам общеобразовательных организаций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классах);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A6546">
        <w:rPr>
          <w:color w:val="222222"/>
          <w:sz w:val="28"/>
          <w:szCs w:val="28"/>
        </w:rPr>
        <w:t>Рк</w:t>
      </w:r>
      <w:proofErr w:type="spellEnd"/>
      <w:r w:rsidRPr="008A6546">
        <w:rPr>
          <w:color w:val="222222"/>
          <w:sz w:val="28"/>
          <w:szCs w:val="28"/>
        </w:rPr>
        <w:t xml:space="preserve"> - районные коэффициенты;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A6546">
        <w:rPr>
          <w:color w:val="222222"/>
          <w:sz w:val="28"/>
          <w:szCs w:val="28"/>
        </w:rPr>
        <w:lastRenderedPageBreak/>
        <w:t>Пн</w:t>
      </w:r>
      <w:proofErr w:type="spellEnd"/>
      <w:r w:rsidRPr="008A6546">
        <w:rPr>
          <w:color w:val="222222"/>
          <w:sz w:val="28"/>
          <w:szCs w:val="28"/>
        </w:rPr>
        <w:t xml:space="preserve"> - процентные надбавки;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H1 - заявленная субъектом Российской Федерации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A6546">
        <w:rPr>
          <w:color w:val="222222"/>
          <w:sz w:val="28"/>
          <w:szCs w:val="28"/>
        </w:rPr>
        <w:t>Nм</w:t>
      </w:r>
      <w:proofErr w:type="spellEnd"/>
      <w:r w:rsidRPr="008A6546">
        <w:rPr>
          <w:color w:val="222222"/>
          <w:sz w:val="28"/>
          <w:szCs w:val="28"/>
        </w:rPr>
        <w:t xml:space="preserve"> -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A6546">
        <w:rPr>
          <w:color w:val="222222"/>
          <w:sz w:val="28"/>
          <w:szCs w:val="28"/>
        </w:rPr>
        <w:t>Sвзн</w:t>
      </w:r>
      <w:proofErr w:type="spellEnd"/>
      <w:r w:rsidRPr="008A6546">
        <w:rPr>
          <w:color w:val="222222"/>
          <w:sz w:val="28"/>
          <w:szCs w:val="28"/>
        </w:rPr>
        <w:t xml:space="preserve"> - страховые взносы в государственные внебюджетные фонды.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12. Перечисление иных межбюджетных трансфертов осуществляется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13. Оценка эффективности предоставления иных межбюджетных трансфертов осуществляется Министерством просвещения Российской Федерации путем сравнения плановых и фактических значений результатов предоставления иных межбюджетных трансфертов, которые устанавливаются соглашением, -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 xml:space="preserve">14. В случае если субъектом Российской Федерации по состоянию на 31 декабря текущего финансового года допущено </w:t>
      </w:r>
      <w:proofErr w:type="spellStart"/>
      <w:r w:rsidRPr="008A6546">
        <w:rPr>
          <w:color w:val="222222"/>
          <w:sz w:val="28"/>
          <w:szCs w:val="28"/>
        </w:rPr>
        <w:t>недостижение</w:t>
      </w:r>
      <w:proofErr w:type="spellEnd"/>
      <w:r w:rsidRPr="008A6546">
        <w:rPr>
          <w:color w:val="222222"/>
          <w:sz w:val="28"/>
          <w:szCs w:val="28"/>
        </w:rPr>
        <w:t xml:space="preserve"> значения результата предоставления иных межбюджетных трансфертов, установленного соглашением, размер средств, подлежащих возврату из бюджета субъекта Российской Федерации в федеральный бюджет до 1 мая года, следующего за годом предоставления иных межбюджетных трансфертов (T2i), определяется по формуле:</w:t>
      </w:r>
    </w:p>
    <w:p w:rsidR="008A6546" w:rsidRPr="008A6546" w:rsidRDefault="008A6546" w:rsidP="008A6546">
      <w:pPr>
        <w:pStyle w:val="pc"/>
        <w:shd w:val="clear" w:color="auto" w:fill="FFFFFF"/>
        <w:spacing w:before="0" w:beforeAutospacing="0" w:after="199" w:afterAutospacing="0" w:line="540" w:lineRule="atLeast"/>
        <w:jc w:val="both"/>
        <w:textAlignment w:val="baseline"/>
        <w:rPr>
          <w:b/>
          <w:bCs/>
          <w:color w:val="222222"/>
          <w:sz w:val="28"/>
          <w:szCs w:val="28"/>
          <w:lang w:val="en-US"/>
        </w:rPr>
      </w:pPr>
      <w:r w:rsidRPr="008A6546">
        <w:rPr>
          <w:b/>
          <w:bCs/>
          <w:color w:val="222222"/>
          <w:sz w:val="28"/>
          <w:szCs w:val="28"/>
          <w:lang w:val="en-US"/>
        </w:rPr>
        <w:t>T2i = T1i - (T</w:t>
      </w:r>
      <w:proofErr w:type="spellStart"/>
      <w:r w:rsidRPr="008A6546">
        <w:rPr>
          <w:b/>
          <w:bCs/>
          <w:color w:val="222222"/>
          <w:sz w:val="28"/>
          <w:szCs w:val="28"/>
        </w:rPr>
        <w:t>кр</w:t>
      </w:r>
      <w:proofErr w:type="spellEnd"/>
      <w:r w:rsidRPr="008A6546">
        <w:rPr>
          <w:b/>
          <w:bCs/>
          <w:color w:val="222222"/>
          <w:sz w:val="28"/>
          <w:szCs w:val="28"/>
          <w:lang w:val="en-US"/>
        </w:rPr>
        <w:t xml:space="preserve"> x (</w:t>
      </w:r>
      <w:proofErr w:type="spellStart"/>
      <w:r w:rsidRPr="008A6546">
        <w:rPr>
          <w:b/>
          <w:bCs/>
          <w:color w:val="222222"/>
          <w:sz w:val="28"/>
          <w:szCs w:val="28"/>
        </w:rPr>
        <w:t>Рк</w:t>
      </w:r>
      <w:proofErr w:type="spellEnd"/>
      <w:r w:rsidRPr="008A6546">
        <w:rPr>
          <w:b/>
          <w:bCs/>
          <w:color w:val="222222"/>
          <w:sz w:val="28"/>
          <w:szCs w:val="28"/>
          <w:lang w:val="en-US"/>
        </w:rPr>
        <w:t xml:space="preserve"> + </w:t>
      </w:r>
      <w:proofErr w:type="spellStart"/>
      <w:r w:rsidRPr="008A6546">
        <w:rPr>
          <w:b/>
          <w:bCs/>
          <w:color w:val="222222"/>
          <w:sz w:val="28"/>
          <w:szCs w:val="28"/>
        </w:rPr>
        <w:t>Пн</w:t>
      </w:r>
      <w:proofErr w:type="spellEnd"/>
      <w:r w:rsidRPr="008A6546">
        <w:rPr>
          <w:b/>
          <w:bCs/>
          <w:color w:val="222222"/>
          <w:sz w:val="28"/>
          <w:szCs w:val="28"/>
          <w:lang w:val="en-US"/>
        </w:rPr>
        <w:t>)) x H2 x N</w:t>
      </w:r>
      <w:r w:rsidRPr="008A6546">
        <w:rPr>
          <w:b/>
          <w:bCs/>
          <w:color w:val="222222"/>
          <w:sz w:val="28"/>
          <w:szCs w:val="28"/>
        </w:rPr>
        <w:t>м</w:t>
      </w:r>
      <w:r w:rsidRPr="008A6546">
        <w:rPr>
          <w:b/>
          <w:bCs/>
          <w:color w:val="222222"/>
          <w:sz w:val="28"/>
          <w:szCs w:val="28"/>
          <w:lang w:val="en-US"/>
        </w:rPr>
        <w:t xml:space="preserve"> x S</w:t>
      </w:r>
      <w:proofErr w:type="spellStart"/>
      <w:r w:rsidRPr="008A6546">
        <w:rPr>
          <w:b/>
          <w:bCs/>
          <w:color w:val="222222"/>
          <w:sz w:val="28"/>
          <w:szCs w:val="28"/>
        </w:rPr>
        <w:t>взн</w:t>
      </w:r>
      <w:proofErr w:type="spellEnd"/>
      <w:r w:rsidRPr="008A6546">
        <w:rPr>
          <w:b/>
          <w:bCs/>
          <w:color w:val="222222"/>
          <w:sz w:val="28"/>
          <w:szCs w:val="28"/>
          <w:lang w:val="en-US"/>
        </w:rPr>
        <w:t>,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где H2 - фактическая численность педагогических работников общеобразовательных организаций субъекта Российской Федерации, получающих вознаграждение за классное руководство.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15. Не позднее 20 января года, следующего за отчетным годом, в Министерство просвещения Российской Федерации представляется отчетность о расходах бюджетов субъектов Российской Федерации и достижении значения результата предоставления иного межбюджетного трансферта, установленного соглашением.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 xml:space="preserve">16. В случае нецелевого использования иного межбюджетного трансферта субъектом Российской Федерации к нему применяются бюджетные меры </w:t>
      </w:r>
      <w:r w:rsidRPr="008A6546">
        <w:rPr>
          <w:color w:val="222222"/>
          <w:sz w:val="28"/>
          <w:szCs w:val="28"/>
        </w:rPr>
        <w:lastRenderedPageBreak/>
        <w:t>принуждения, предусмотренные бюджетным законодательством Российской Федерации.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17. Ответственность за достоверность представляемых в Министерство просвещения Российской Федерации информации и документов, предусмотренных настоящими Правилами, возлагается на высший исполнительный орган государственной власти субъекта Российской Федерации.</w:t>
      </w:r>
    </w:p>
    <w:p w:rsidR="008A6546" w:rsidRPr="008A6546" w:rsidRDefault="008A6546" w:rsidP="008A6546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8A6546">
        <w:rPr>
          <w:color w:val="222222"/>
          <w:sz w:val="28"/>
          <w:szCs w:val="28"/>
        </w:rPr>
        <w:t>18. Контроль за соблюдением субъектами Российской Федерации целей, условий и порядка предоставления иных межбюджетных трансфертов осуществляется Министерством просвещения Российской Федерации и уполномоченными органами государственного финансового контроля.".</w:t>
      </w:r>
    </w:p>
    <w:p w:rsidR="00EE0460" w:rsidRDefault="00EE0460" w:rsidP="008A6546">
      <w:pPr>
        <w:jc w:val="both"/>
      </w:pPr>
    </w:p>
    <w:sectPr w:rsidR="00EE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46"/>
    <w:rsid w:val="008A6546"/>
    <w:rsid w:val="00E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970C-B718-4794-B7CE-AF8C4E42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A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546"/>
    <w:rPr>
      <w:color w:val="0000FF"/>
      <w:u w:val="single"/>
    </w:rPr>
  </w:style>
  <w:style w:type="paragraph" w:customStyle="1" w:styleId="pr">
    <w:name w:val="pr"/>
    <w:basedOn w:val="a"/>
    <w:rsid w:val="008A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goverment/Postanovlenie-Pravitelstva-RF-ot-26.12.2017-N-16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1</cp:revision>
  <dcterms:created xsi:type="dcterms:W3CDTF">2020-09-21T10:28:00Z</dcterms:created>
  <dcterms:modified xsi:type="dcterms:W3CDTF">2020-09-21T10:30:00Z</dcterms:modified>
</cp:coreProperties>
</file>